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9"/>
        <w:gridCol w:w="1228"/>
        <w:gridCol w:w="1287"/>
        <w:gridCol w:w="1228"/>
        <w:gridCol w:w="1248"/>
        <w:gridCol w:w="1247"/>
        <w:gridCol w:w="1228"/>
        <w:gridCol w:w="1268"/>
      </w:tblGrid>
      <w:tr>
        <w:trPr>
          <w:trHeight w:val="253" w:hRule="atLeast"/>
        </w:trPr>
        <w:tc>
          <w:tcPr>
            <w:tcW w:w="1569" w:type="dxa"/>
            <w:tcBorders>
              <w:top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spacing w:line="225" w:lineRule="exact" w:before="8"/>
              <w:ind w:left="104"/>
              <w:rPr>
                <w:rFonts w:ascii="VeluxGothic Bold" w:hAnsi="VeluxGothic Bold"/>
                <w:b/>
                <w:sz w:val="18"/>
              </w:rPr>
            </w:pPr>
            <w:r>
              <w:rPr>
                <w:rFonts w:ascii="VeluxGothic Bold" w:hAnsi="VeluxGothic Bold"/>
                <w:b/>
                <w:color w:val="231F20"/>
                <w:sz w:val="18"/>
              </w:rPr>
              <w:t>Характеристика</w:t>
            </w:r>
          </w:p>
        </w:tc>
        <w:tc>
          <w:tcPr>
            <w:tcW w:w="2515" w:type="dxa"/>
            <w:gridSpan w:val="2"/>
            <w:tcBorders>
              <w:top w:val="single" w:sz="4" w:space="0" w:color="BDBDBA"/>
              <w:left w:val="single" w:sz="8" w:space="0" w:color="FFFFFF"/>
              <w:bottom w:val="single" w:sz="8" w:space="0" w:color="FFFFFF"/>
            </w:tcBorders>
            <w:shd w:val="clear" w:color="auto" w:fill="777878"/>
          </w:tcPr>
          <w:p>
            <w:pPr>
              <w:pStyle w:val="TableParagraph"/>
              <w:spacing w:line="225" w:lineRule="exact" w:before="8"/>
              <w:ind w:left="46"/>
              <w:rPr>
                <w:rFonts w:ascii="VeluxGothic Black" w:hAnsi="VeluxGothic Black"/>
                <w:b/>
                <w:sz w:val="18"/>
              </w:rPr>
            </w:pPr>
            <w:r>
              <w:rPr>
                <w:rFonts w:ascii="VeluxGothic Black" w:hAnsi="VeluxGothic Black"/>
                <w:b/>
                <w:color w:val="FFFFFF"/>
                <w:sz w:val="18"/>
              </w:rPr>
              <w:t>Линия VELUX OPTIMA</w:t>
            </w:r>
          </w:p>
        </w:tc>
        <w:tc>
          <w:tcPr>
            <w:tcW w:w="1228" w:type="dxa"/>
            <w:tcBorders>
              <w:top w:val="single" w:sz="4" w:space="0" w:color="BDBDBA"/>
              <w:bottom w:val="single" w:sz="8" w:space="0" w:color="FFFFFF"/>
            </w:tcBorders>
            <w:shd w:val="clear" w:color="auto" w:fill="77787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5" w:type="dxa"/>
            <w:gridSpan w:val="2"/>
            <w:tcBorders>
              <w:bottom w:val="single" w:sz="8" w:space="0" w:color="FFFFFF"/>
            </w:tcBorders>
            <w:shd w:val="clear" w:color="auto" w:fill="ED1C24"/>
          </w:tcPr>
          <w:p>
            <w:pPr>
              <w:pStyle w:val="TableParagraph"/>
              <w:spacing w:line="225" w:lineRule="exact" w:before="8"/>
              <w:ind w:left="54"/>
              <w:rPr>
                <w:rFonts w:ascii="VeluxGothic Black" w:hAnsi="VeluxGothic Black"/>
                <w:b/>
                <w:sz w:val="18"/>
              </w:rPr>
            </w:pPr>
            <w:r>
              <w:rPr>
                <w:rFonts w:ascii="VeluxGothic Black" w:hAnsi="VeluxGothic Black"/>
                <w:b/>
                <w:color w:val="FFFFFF"/>
                <w:sz w:val="18"/>
              </w:rPr>
              <w:t>Линия VELUX PREMIUM</w:t>
            </w:r>
          </w:p>
        </w:tc>
        <w:tc>
          <w:tcPr>
            <w:tcW w:w="1228" w:type="dxa"/>
            <w:tcBorders>
              <w:bottom w:val="single" w:sz="8" w:space="0" w:color="FFFFFF"/>
            </w:tcBorders>
            <w:shd w:val="clear" w:color="auto" w:fill="ED1C2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8" w:space="0" w:color="FFFFFF"/>
            </w:tcBorders>
            <w:shd w:val="clear" w:color="auto" w:fill="ED1C2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9" w:hRule="atLeast"/>
        </w:trPr>
        <w:tc>
          <w:tcPr>
            <w:tcW w:w="156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4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Код стеклопакета</w:t>
            </w:r>
          </w:p>
        </w:tc>
        <w:tc>
          <w:tcPr>
            <w:tcW w:w="1228" w:type="dxa"/>
            <w:tcBorders>
              <w:top w:val="single" w:sz="8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5" w:right="87"/>
              <w:jc w:val="center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--50 (R)</w:t>
            </w:r>
          </w:p>
        </w:tc>
        <w:tc>
          <w:tcPr>
            <w:tcW w:w="1287" w:type="dxa"/>
            <w:tcBorders>
              <w:top w:val="single" w:sz="8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7" w:right="107"/>
              <w:jc w:val="center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--73 (R)</w:t>
            </w:r>
          </w:p>
        </w:tc>
        <w:tc>
          <w:tcPr>
            <w:tcW w:w="1228" w:type="dxa"/>
            <w:tcBorders>
              <w:top w:val="single" w:sz="8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7" w:right="99"/>
              <w:jc w:val="center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--61 (R)</w:t>
            </w:r>
          </w:p>
        </w:tc>
        <w:tc>
          <w:tcPr>
            <w:tcW w:w="1248" w:type="dxa"/>
            <w:tcBorders>
              <w:top w:val="single" w:sz="8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16" w:right="118"/>
              <w:jc w:val="center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--70</w:t>
            </w:r>
          </w:p>
        </w:tc>
        <w:tc>
          <w:tcPr>
            <w:tcW w:w="1247" w:type="dxa"/>
            <w:tcBorders>
              <w:top w:val="single" w:sz="8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2" w:right="125"/>
              <w:jc w:val="center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--61</w:t>
            </w:r>
          </w:p>
        </w:tc>
        <w:tc>
          <w:tcPr>
            <w:tcW w:w="1228" w:type="dxa"/>
            <w:tcBorders>
              <w:top w:val="single" w:sz="8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5" w:right="90"/>
              <w:jc w:val="center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--68</w:t>
            </w:r>
          </w:p>
        </w:tc>
        <w:tc>
          <w:tcPr>
            <w:tcW w:w="1268" w:type="dxa"/>
            <w:tcBorders>
              <w:top w:val="single" w:sz="8" w:space="0" w:color="FFFFF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7" w:right="124"/>
              <w:jc w:val="center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--86</w:t>
            </w:r>
          </w:p>
        </w:tc>
      </w:tr>
      <w:tr>
        <w:trPr>
          <w:trHeight w:val="686" w:hRule="atLeast"/>
        </w:trPr>
        <w:tc>
          <w:tcPr>
            <w:tcW w:w="1569" w:type="dxa"/>
          </w:tcPr>
          <w:p>
            <w:pPr>
              <w:pStyle w:val="TableParagraph"/>
              <w:spacing w:line="204" w:lineRule="auto" w:before="124"/>
              <w:ind w:left="104" w:right="320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Модели, представленные в прейскуранте</w:t>
            </w:r>
          </w:p>
        </w:tc>
        <w:tc>
          <w:tcPr>
            <w:tcW w:w="1228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5" w:right="87"/>
              <w:jc w:val="center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GZR</w:t>
            </w:r>
          </w:p>
        </w:tc>
        <w:tc>
          <w:tcPr>
            <w:tcW w:w="1287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7" w:right="107"/>
              <w:jc w:val="center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GLR, GLP</w:t>
            </w:r>
          </w:p>
        </w:tc>
        <w:tc>
          <w:tcPr>
            <w:tcW w:w="1228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9" w:right="99"/>
              <w:jc w:val="center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GZR</w:t>
            </w:r>
          </w:p>
        </w:tc>
        <w:tc>
          <w:tcPr>
            <w:tcW w:w="1248" w:type="dxa"/>
          </w:tcPr>
          <w:p>
            <w:pPr>
              <w:pStyle w:val="TableParagraph"/>
              <w:spacing w:line="254" w:lineRule="auto" w:before="161"/>
              <w:ind w:left="315" w:right="282" w:hanging="23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GGL, GGU, GPL, GPU</w:t>
            </w:r>
          </w:p>
        </w:tc>
        <w:tc>
          <w:tcPr>
            <w:tcW w:w="1247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3" w:right="124"/>
              <w:jc w:val="center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GLL</w:t>
            </w:r>
          </w:p>
        </w:tc>
        <w:tc>
          <w:tcPr>
            <w:tcW w:w="1228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5" w:right="91"/>
              <w:jc w:val="center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GGU</w:t>
            </w:r>
          </w:p>
        </w:tc>
        <w:tc>
          <w:tcPr>
            <w:tcW w:w="1268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26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GGL, GGU</w:t>
            </w:r>
          </w:p>
        </w:tc>
      </w:tr>
      <w:tr>
        <w:trPr>
          <w:trHeight w:val="566" w:hRule="atLeast"/>
        </w:trPr>
        <w:tc>
          <w:tcPr>
            <w:tcW w:w="1569" w:type="dxa"/>
          </w:tcPr>
          <w:p>
            <w:pPr>
              <w:pStyle w:val="TableParagraph"/>
              <w:spacing w:line="204" w:lineRule="auto" w:before="84"/>
              <w:ind w:left="104" w:right="535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Камеры стеклопакета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5" w:right="8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Однокамерный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7" w:right="107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Однокамерный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9" w:right="99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Двухкамерный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6" w:right="11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Однокамерный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3" w:right="125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Двухкамерный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5" w:right="91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Двухкамерный</w:t>
            </w:r>
          </w:p>
        </w:tc>
        <w:tc>
          <w:tcPr>
            <w:tcW w:w="126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140"/>
              <w:jc w:val="right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Двухкамерный</w:t>
            </w:r>
          </w:p>
        </w:tc>
      </w:tr>
      <w:tr>
        <w:trPr>
          <w:trHeight w:val="441" w:hRule="atLeast"/>
        </w:trPr>
        <w:tc>
          <w:tcPr>
            <w:tcW w:w="1569" w:type="dxa"/>
          </w:tcPr>
          <w:p>
            <w:pPr>
              <w:pStyle w:val="TableParagraph"/>
              <w:spacing w:before="141"/>
              <w:ind w:left="104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Заполнение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5" w:right="8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Аргон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7" w:right="107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Аргон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8" w:right="99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Аргон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6" w:right="11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Аргон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2" w:right="125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Аргон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5" w:right="91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Аргон</w:t>
            </w:r>
          </w:p>
        </w:tc>
        <w:tc>
          <w:tcPr>
            <w:tcW w:w="126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68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Криптон</w:t>
            </w:r>
          </w:p>
        </w:tc>
      </w:tr>
      <w:tr>
        <w:trPr>
          <w:trHeight w:val="840" w:hRule="atLeast"/>
        </w:trPr>
        <w:tc>
          <w:tcPr>
            <w:tcW w:w="1569" w:type="dxa"/>
          </w:tcPr>
          <w:p>
            <w:pPr>
              <w:pStyle w:val="TableParagraph"/>
              <w:spacing w:line="204" w:lineRule="auto" w:before="119"/>
              <w:ind w:left="104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Коэффициент сопротивления теплопередаче окна (R, м</w:t>
            </w:r>
            <w:r>
              <w:rPr>
                <w:rFonts w:ascii="VeluxGothic Bold" w:hAnsi="VeluxGothic Bold"/>
                <w:b/>
                <w:color w:val="231F20"/>
                <w:position w:val="5"/>
                <w:sz w:val="8"/>
              </w:rPr>
              <w:t>2</w:t>
            </w:r>
            <w:r>
              <w:rPr>
                <w:rFonts w:ascii="VeluxGothic Bold" w:hAnsi="VeluxGothic Bold"/>
                <w:b/>
                <w:color w:val="231F20"/>
                <w:sz w:val="15"/>
              </w:rPr>
              <w:t>С/Вт)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5" w:right="87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0,71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7" w:right="107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0,71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8" w:right="99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0,91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6" w:right="11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0,77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2" w:right="125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0,91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5" w:right="91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0,91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4" w:right="124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1,0</w:t>
            </w:r>
          </w:p>
        </w:tc>
      </w:tr>
      <w:tr>
        <w:trPr>
          <w:trHeight w:val="517" w:hRule="atLeast"/>
        </w:trPr>
        <w:tc>
          <w:tcPr>
            <w:tcW w:w="1569" w:type="dxa"/>
          </w:tcPr>
          <w:p>
            <w:pPr>
              <w:pStyle w:val="TableParagraph"/>
              <w:spacing w:before="133"/>
              <w:ind w:left="104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Внутреннее стекло</w:t>
            </w:r>
          </w:p>
        </w:tc>
        <w:tc>
          <w:tcPr>
            <w:tcW w:w="1228" w:type="dxa"/>
          </w:tcPr>
          <w:p>
            <w:pPr>
              <w:pStyle w:val="TableParagraph"/>
              <w:spacing w:before="139"/>
              <w:ind w:left="105" w:right="87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4 мм</w:t>
            </w:r>
          </w:p>
        </w:tc>
        <w:tc>
          <w:tcPr>
            <w:tcW w:w="1287" w:type="dxa"/>
          </w:tcPr>
          <w:p>
            <w:pPr>
              <w:pStyle w:val="TableParagraph"/>
              <w:spacing w:line="167" w:lineRule="exact" w:before="59"/>
              <w:ind w:left="107" w:right="107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2х3 мм,</w:t>
            </w:r>
          </w:p>
          <w:p>
            <w:pPr>
              <w:pStyle w:val="TableParagraph"/>
              <w:spacing w:line="167" w:lineRule="exact"/>
              <w:ind w:left="107" w:right="107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«триплекс»</w:t>
            </w:r>
          </w:p>
        </w:tc>
        <w:tc>
          <w:tcPr>
            <w:tcW w:w="1228" w:type="dxa"/>
          </w:tcPr>
          <w:p>
            <w:pPr>
              <w:pStyle w:val="TableParagraph"/>
              <w:spacing w:before="140"/>
              <w:ind w:left="79" w:right="99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4 мм</w:t>
            </w:r>
          </w:p>
        </w:tc>
        <w:tc>
          <w:tcPr>
            <w:tcW w:w="1248" w:type="dxa"/>
          </w:tcPr>
          <w:p>
            <w:pPr>
              <w:pStyle w:val="TableParagraph"/>
              <w:spacing w:line="167" w:lineRule="exact" w:before="60"/>
              <w:ind w:left="116" w:right="11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2х3 мм,</w:t>
            </w:r>
          </w:p>
          <w:p>
            <w:pPr>
              <w:pStyle w:val="TableParagraph"/>
              <w:spacing w:line="167" w:lineRule="exact"/>
              <w:ind w:left="116" w:right="11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«триплекс»</w:t>
            </w:r>
          </w:p>
        </w:tc>
        <w:tc>
          <w:tcPr>
            <w:tcW w:w="1247" w:type="dxa"/>
          </w:tcPr>
          <w:p>
            <w:pPr>
              <w:pStyle w:val="TableParagraph"/>
              <w:spacing w:before="140"/>
              <w:ind w:left="123" w:right="125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4 мм</w:t>
            </w:r>
          </w:p>
        </w:tc>
        <w:tc>
          <w:tcPr>
            <w:tcW w:w="1228" w:type="dxa"/>
          </w:tcPr>
          <w:p>
            <w:pPr>
              <w:pStyle w:val="TableParagraph"/>
              <w:spacing w:line="167" w:lineRule="exact" w:before="60"/>
              <w:ind w:left="105" w:right="91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2х3 мм,</w:t>
            </w:r>
          </w:p>
          <w:p>
            <w:pPr>
              <w:pStyle w:val="TableParagraph"/>
              <w:spacing w:line="167" w:lineRule="exact"/>
              <w:ind w:left="105" w:right="91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«триплекс»</w:t>
            </w:r>
          </w:p>
        </w:tc>
        <w:tc>
          <w:tcPr>
            <w:tcW w:w="1268" w:type="dxa"/>
          </w:tcPr>
          <w:p>
            <w:pPr>
              <w:pStyle w:val="TableParagraph"/>
              <w:spacing w:line="167" w:lineRule="exact" w:before="60"/>
              <w:ind w:left="136" w:right="124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2х3 мм,</w:t>
            </w:r>
          </w:p>
          <w:p>
            <w:pPr>
              <w:pStyle w:val="TableParagraph"/>
              <w:spacing w:line="167" w:lineRule="exact"/>
              <w:ind w:left="137" w:right="124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«триплекс»</w:t>
            </w:r>
          </w:p>
        </w:tc>
      </w:tr>
      <w:tr>
        <w:trPr>
          <w:trHeight w:val="566" w:hRule="atLeast"/>
        </w:trPr>
        <w:tc>
          <w:tcPr>
            <w:tcW w:w="156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4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Среднее стекло</w:t>
            </w:r>
          </w:p>
        </w:tc>
        <w:tc>
          <w:tcPr>
            <w:tcW w:w="1228" w:type="dxa"/>
          </w:tcPr>
          <w:p>
            <w:pPr>
              <w:pStyle w:val="TableParagraph"/>
              <w:spacing w:before="138"/>
              <w:ind w:left="18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-</w:t>
            </w:r>
          </w:p>
        </w:tc>
        <w:tc>
          <w:tcPr>
            <w:tcW w:w="1287" w:type="dxa"/>
          </w:tcPr>
          <w:p>
            <w:pPr>
              <w:pStyle w:val="TableParagraph"/>
              <w:spacing w:before="138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-</w:t>
            </w:r>
          </w:p>
        </w:tc>
        <w:tc>
          <w:tcPr>
            <w:tcW w:w="1228" w:type="dxa"/>
          </w:tcPr>
          <w:p>
            <w:pPr>
              <w:pStyle w:val="TableParagraph"/>
              <w:spacing w:line="223" w:lineRule="auto" w:before="119"/>
              <w:ind w:left="231" w:right="251" w:firstLine="200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 мм, закаленное</w:t>
            </w:r>
          </w:p>
        </w:tc>
        <w:tc>
          <w:tcPr>
            <w:tcW w:w="1248" w:type="dxa"/>
          </w:tcPr>
          <w:p>
            <w:pPr>
              <w:pStyle w:val="TableParagraph"/>
              <w:spacing w:before="138"/>
              <w:ind w:right="2"/>
              <w:jc w:val="center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-</w:t>
            </w:r>
          </w:p>
        </w:tc>
        <w:tc>
          <w:tcPr>
            <w:tcW w:w="1247" w:type="dxa"/>
          </w:tcPr>
          <w:p>
            <w:pPr>
              <w:pStyle w:val="TableParagraph"/>
              <w:spacing w:line="223" w:lineRule="auto" w:before="119"/>
              <w:ind w:left="249" w:right="175" w:firstLine="200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 мм, закаленное</w:t>
            </w:r>
          </w:p>
        </w:tc>
        <w:tc>
          <w:tcPr>
            <w:tcW w:w="1228" w:type="dxa"/>
          </w:tcPr>
          <w:p>
            <w:pPr>
              <w:pStyle w:val="TableParagraph"/>
              <w:spacing w:line="223" w:lineRule="auto" w:before="119"/>
              <w:ind w:left="249" w:right="154" w:firstLine="200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 мм, закаленное</w:t>
            </w:r>
          </w:p>
        </w:tc>
        <w:tc>
          <w:tcPr>
            <w:tcW w:w="1268" w:type="dxa"/>
          </w:tcPr>
          <w:p>
            <w:pPr>
              <w:pStyle w:val="TableParagraph"/>
              <w:spacing w:line="223" w:lineRule="auto" w:before="119"/>
              <w:ind w:left="269" w:right="253" w:firstLine="200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 мм, закаленное</w:t>
            </w:r>
          </w:p>
        </w:tc>
      </w:tr>
      <w:tr>
        <w:trPr>
          <w:trHeight w:val="518" w:hRule="atLeast"/>
        </w:trPr>
        <w:tc>
          <w:tcPr>
            <w:tcW w:w="156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4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Внешнее стекло</w:t>
            </w:r>
          </w:p>
        </w:tc>
        <w:tc>
          <w:tcPr>
            <w:tcW w:w="1228" w:type="dxa"/>
          </w:tcPr>
          <w:p>
            <w:pPr>
              <w:pStyle w:val="TableParagraph"/>
              <w:spacing w:line="223" w:lineRule="auto" w:before="119"/>
              <w:ind w:left="251" w:right="154" w:firstLine="196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4 мм, закаленное</w:t>
            </w:r>
          </w:p>
        </w:tc>
        <w:tc>
          <w:tcPr>
            <w:tcW w:w="1287" w:type="dxa"/>
          </w:tcPr>
          <w:p>
            <w:pPr>
              <w:pStyle w:val="TableParagraph"/>
              <w:spacing w:line="223" w:lineRule="auto" w:before="119"/>
              <w:ind w:left="270" w:firstLine="196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4 мм, закаленное</w:t>
            </w:r>
          </w:p>
        </w:tc>
        <w:tc>
          <w:tcPr>
            <w:tcW w:w="1228" w:type="dxa"/>
          </w:tcPr>
          <w:p>
            <w:pPr>
              <w:pStyle w:val="TableParagraph"/>
              <w:spacing w:line="223" w:lineRule="auto" w:before="119"/>
              <w:ind w:left="231" w:right="251" w:firstLine="200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 мм, закаленное</w:t>
            </w:r>
          </w:p>
        </w:tc>
        <w:tc>
          <w:tcPr>
            <w:tcW w:w="1248" w:type="dxa"/>
          </w:tcPr>
          <w:p>
            <w:pPr>
              <w:pStyle w:val="TableParagraph"/>
              <w:spacing w:line="223" w:lineRule="auto" w:before="119"/>
              <w:ind w:left="250" w:right="175" w:firstLine="196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4 мм, закаленное</w:t>
            </w:r>
          </w:p>
        </w:tc>
        <w:tc>
          <w:tcPr>
            <w:tcW w:w="1247" w:type="dxa"/>
          </w:tcPr>
          <w:p>
            <w:pPr>
              <w:pStyle w:val="TableParagraph"/>
              <w:spacing w:line="223" w:lineRule="auto" w:before="119"/>
              <w:ind w:left="249" w:right="175" w:firstLine="200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 мм, закаленное</w:t>
            </w:r>
          </w:p>
        </w:tc>
        <w:tc>
          <w:tcPr>
            <w:tcW w:w="1228" w:type="dxa"/>
          </w:tcPr>
          <w:p>
            <w:pPr>
              <w:pStyle w:val="TableParagraph"/>
              <w:spacing w:line="223" w:lineRule="auto" w:before="119"/>
              <w:ind w:left="249" w:right="154" w:firstLine="196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4 мм, закаленное</w:t>
            </w:r>
          </w:p>
        </w:tc>
        <w:tc>
          <w:tcPr>
            <w:tcW w:w="1268" w:type="dxa"/>
          </w:tcPr>
          <w:p>
            <w:pPr>
              <w:pStyle w:val="TableParagraph"/>
              <w:spacing w:line="223" w:lineRule="auto" w:before="119"/>
              <w:ind w:left="269" w:right="253" w:firstLine="196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4 мм, закаленное</w:t>
            </w:r>
          </w:p>
        </w:tc>
      </w:tr>
      <w:tr>
        <w:trPr>
          <w:trHeight w:val="921" w:hRule="atLeast"/>
        </w:trPr>
        <w:tc>
          <w:tcPr>
            <w:tcW w:w="1569" w:type="dxa"/>
          </w:tcPr>
          <w:p>
            <w:pPr>
              <w:pStyle w:val="TableParagraph"/>
              <w:spacing w:line="204" w:lineRule="auto" w:before="83"/>
              <w:ind w:left="104" w:right="132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Формула стеклопакета: внутреннее стекло- камера-внешнее стекло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8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4-16-4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07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33.2-14-4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8" w:right="99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4-12-3-12-3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6" w:right="11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33.2-15-4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2" w:right="125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4-14-3-14-3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5" w:right="92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33.2-12-3-12-4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74"/>
              <w:jc w:val="right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33.2-12-3-12-4</w:t>
            </w:r>
          </w:p>
        </w:tc>
      </w:tr>
      <w:tr>
        <w:trPr>
          <w:trHeight w:val="642" w:hRule="atLeast"/>
        </w:trPr>
        <w:tc>
          <w:tcPr>
            <w:tcW w:w="1569" w:type="dxa"/>
          </w:tcPr>
          <w:p>
            <w:pPr>
              <w:pStyle w:val="TableParagraph"/>
              <w:spacing w:line="204" w:lineRule="auto" w:before="39"/>
              <w:ind w:left="104" w:right="84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Легкоочищающееся покрытие</w:t>
            </w:r>
          </w:p>
          <w:p>
            <w:pPr>
              <w:pStyle w:val="TableParagraph"/>
              <w:spacing w:line="166" w:lineRule="exact"/>
              <w:ind w:left="104"/>
              <w:rPr>
                <w:rFonts w:ascii="VeluxGothic Bold"/>
                <w:b/>
                <w:sz w:val="15"/>
              </w:rPr>
            </w:pPr>
            <w:r>
              <w:rPr>
                <w:rFonts w:ascii="VeluxGothic Bold"/>
                <w:b/>
                <w:color w:val="231F20"/>
                <w:sz w:val="15"/>
              </w:rPr>
              <w:t>(easy-to-clean)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5" w:right="8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нет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6" w:right="107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нет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8" w:right="99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нет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15" w:right="11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нет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2" w:right="125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нет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5" w:right="92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нет</w:t>
            </w:r>
          </w:p>
        </w:tc>
        <w:tc>
          <w:tcPr>
            <w:tcW w:w="126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7" w:right="124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да</w:t>
            </w:r>
          </w:p>
        </w:tc>
      </w:tr>
      <w:tr>
        <w:trPr>
          <w:trHeight w:val="410" w:hRule="atLeast"/>
        </w:trPr>
        <w:tc>
          <w:tcPr>
            <w:tcW w:w="1569" w:type="dxa"/>
          </w:tcPr>
          <w:p>
            <w:pPr>
              <w:pStyle w:val="TableParagraph"/>
              <w:spacing w:before="101"/>
              <w:ind w:left="104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Покрытие анти-роса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8"/>
              <w:ind w:left="105" w:right="8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нет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8"/>
              <w:ind w:left="106" w:right="107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нет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8"/>
              <w:ind w:left="78" w:right="99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нет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8"/>
              <w:ind w:left="115" w:right="11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нет</w:t>
            </w:r>
          </w:p>
        </w:tc>
        <w:tc>
          <w:tcPr>
            <w:tcW w:w="1247" w:type="dxa"/>
          </w:tcPr>
          <w:p>
            <w:pPr>
              <w:pStyle w:val="TableParagraph"/>
              <w:spacing w:before="108"/>
              <w:ind w:left="122" w:right="125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нет</w:t>
            </w:r>
          </w:p>
        </w:tc>
        <w:tc>
          <w:tcPr>
            <w:tcW w:w="1228" w:type="dxa"/>
          </w:tcPr>
          <w:p>
            <w:pPr>
              <w:pStyle w:val="TableParagraph"/>
              <w:spacing w:before="108"/>
              <w:ind w:left="105" w:right="90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да</w:t>
            </w:r>
          </w:p>
        </w:tc>
        <w:tc>
          <w:tcPr>
            <w:tcW w:w="1268" w:type="dxa"/>
          </w:tcPr>
          <w:p>
            <w:pPr>
              <w:pStyle w:val="TableParagraph"/>
              <w:spacing w:before="108"/>
              <w:ind w:left="137" w:right="124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да</w:t>
            </w:r>
          </w:p>
        </w:tc>
      </w:tr>
      <w:tr>
        <w:trPr>
          <w:trHeight w:val="635" w:hRule="atLeast"/>
        </w:trPr>
        <w:tc>
          <w:tcPr>
            <w:tcW w:w="1569" w:type="dxa"/>
          </w:tcPr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4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Шумозащита, Дб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90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32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107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35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6" w:right="99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32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4" w:right="118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35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0" w:right="125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32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5" w:right="93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35</w:t>
            </w:r>
          </w:p>
        </w:tc>
        <w:tc>
          <w:tcPr>
            <w:tcW w:w="1268" w:type="dxa"/>
          </w:tcPr>
          <w:p>
            <w:pPr>
              <w:pStyle w:val="TableParagraph"/>
              <w:spacing w:before="105"/>
              <w:ind w:left="135" w:right="124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37</w:t>
            </w:r>
          </w:p>
          <w:p>
            <w:pPr>
              <w:pStyle w:val="TableParagraph"/>
              <w:spacing w:line="278" w:lineRule="auto" w:before="15"/>
              <w:ind w:left="139" w:right="124"/>
              <w:jc w:val="center"/>
              <w:rPr>
                <w:b w:val="0"/>
                <w:sz w:val="12"/>
              </w:rPr>
            </w:pPr>
            <w:r>
              <w:rPr>
                <w:b w:val="0"/>
                <w:color w:val="231F20"/>
                <w:sz w:val="12"/>
              </w:rPr>
              <w:t>(шумоотражающая пленка)</w:t>
            </w:r>
          </w:p>
        </w:tc>
      </w:tr>
      <w:tr>
        <w:trPr>
          <w:trHeight w:val="545" w:hRule="atLeast"/>
        </w:trPr>
        <w:tc>
          <w:tcPr>
            <w:tcW w:w="1569" w:type="dxa"/>
          </w:tcPr>
          <w:p>
            <w:pPr>
              <w:pStyle w:val="TableParagraph"/>
              <w:spacing w:line="204" w:lineRule="auto" w:before="51"/>
              <w:ind w:left="104" w:right="266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Дополнительный уплотнитель</w:t>
            </w:r>
          </w:p>
          <w:p>
            <w:pPr>
              <w:pStyle w:val="TableParagraph"/>
              <w:spacing w:line="153" w:lineRule="exact"/>
              <w:ind w:left="104"/>
              <w:rPr>
                <w:rFonts w:ascii="VeluxGothic Bold" w:hAnsi="VeluxGothic Bold"/>
                <w:b/>
                <w:sz w:val="15"/>
              </w:rPr>
            </w:pPr>
            <w:r>
              <w:rPr>
                <w:rFonts w:ascii="VeluxGothic Bold" w:hAnsi="VeluxGothic Bold"/>
                <w:b/>
                <w:color w:val="231F20"/>
                <w:sz w:val="15"/>
              </w:rPr>
              <w:t>«Снег+»</w:t>
            </w:r>
          </w:p>
        </w:tc>
        <w:tc>
          <w:tcPr>
            <w:tcW w:w="1228" w:type="dxa"/>
          </w:tcPr>
          <w:p>
            <w:pPr>
              <w:pStyle w:val="TableParagraph"/>
              <w:spacing w:line="223" w:lineRule="auto" w:before="126"/>
              <w:ind w:left="184" w:right="154" w:firstLine="221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можно доустановить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 w:right="107"/>
              <w:jc w:val="center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предустановлен</w:t>
            </w:r>
          </w:p>
        </w:tc>
        <w:tc>
          <w:tcPr>
            <w:tcW w:w="1228" w:type="dxa"/>
          </w:tcPr>
          <w:p>
            <w:pPr>
              <w:pStyle w:val="TableParagraph"/>
              <w:spacing w:line="223" w:lineRule="auto" w:before="126"/>
              <w:ind w:left="164" w:right="174" w:firstLine="221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можно доустановить</w:t>
            </w:r>
          </w:p>
        </w:tc>
        <w:tc>
          <w:tcPr>
            <w:tcW w:w="1248" w:type="dxa"/>
          </w:tcPr>
          <w:p>
            <w:pPr>
              <w:pStyle w:val="TableParagraph"/>
              <w:spacing w:line="223" w:lineRule="auto" w:before="126"/>
              <w:ind w:left="183" w:right="175" w:firstLine="221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можно доустановить</w:t>
            </w:r>
          </w:p>
        </w:tc>
        <w:tc>
          <w:tcPr>
            <w:tcW w:w="1247" w:type="dxa"/>
          </w:tcPr>
          <w:p>
            <w:pPr>
              <w:pStyle w:val="TableParagraph"/>
              <w:spacing w:line="223" w:lineRule="auto" w:before="126"/>
              <w:ind w:left="182" w:right="175" w:firstLine="221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можно доустановить</w:t>
            </w:r>
          </w:p>
        </w:tc>
        <w:tc>
          <w:tcPr>
            <w:tcW w:w="1228" w:type="dxa"/>
          </w:tcPr>
          <w:p>
            <w:pPr>
              <w:pStyle w:val="TableParagraph"/>
              <w:spacing w:line="223" w:lineRule="auto" w:before="126"/>
              <w:ind w:left="182" w:right="156" w:firstLine="221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можно доустановить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00"/>
              <w:jc w:val="right"/>
              <w:rPr>
                <w:b w:val="0"/>
                <w:sz w:val="15"/>
              </w:rPr>
            </w:pPr>
            <w:r>
              <w:rPr>
                <w:b w:val="0"/>
                <w:color w:val="231F20"/>
                <w:sz w:val="15"/>
              </w:rPr>
              <w:t>предустановлен</w:t>
            </w:r>
          </w:p>
        </w:tc>
      </w:tr>
    </w:tbl>
    <w:sectPr>
      <w:type w:val="continuous"/>
      <w:pgSz w:w="13080" w:h="18010"/>
      <w:pgMar w:top="1320" w:bottom="28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VeluxGothic Light">
    <w:altName w:val="VeluxGothic Light"/>
    <w:charset w:val="0"/>
    <w:family w:val="modern"/>
    <w:pitch w:val="variable"/>
  </w:font>
  <w:font w:name="VeluxGothic Bold">
    <w:altName w:val="VeluxGothic Bold"/>
    <w:charset w:val="0"/>
    <w:family w:val="modern"/>
    <w:pitch w:val="variable"/>
  </w:font>
  <w:font w:name="VeluxGothic Black">
    <w:altName w:val="VeluxGothic Blac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luxGothic Light" w:hAnsi="VeluxGothic Light" w:eastAsia="VeluxGothic Light" w:cs="VeluxGothic Light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VeluxGothic Light" w:hAnsi="VeluxGothic Light" w:eastAsia="VeluxGothic Light" w:cs="VeluxGothic Light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2019-04-03T08:54:20Z</dcterms:created>
  <dcterms:modified xsi:type="dcterms:W3CDTF">2019-04-03T08:54:20Z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2019-04-03T00:00:00Z</vt:filetime>
  </property>
</Properties>
</file>